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7C" w:rsidRPr="00790031" w:rsidRDefault="00B1055C" w:rsidP="00B1055C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The Rule of 72 </w:t>
      </w:r>
      <w:r w:rsidR="00790031" w:rsidRPr="00790031">
        <w:rPr>
          <w:rFonts w:cstheme="minorHAnsi"/>
          <w:b/>
          <w:sz w:val="48"/>
          <w:szCs w:val="48"/>
        </w:rPr>
        <w:t>Notes</w:t>
      </w:r>
    </w:p>
    <w:p w:rsidR="00790031" w:rsidRDefault="00790031" w:rsidP="00790031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1405890" cy="1054418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>Name: _______________________________          Period: _____          Date: ____________________</w:t>
      </w: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>Directions: As you listen to the lecture and watch the PowerPoint presentation on the Rule of 72, please complete the following notes</w:t>
      </w:r>
      <w:r w:rsidR="00EC08BF">
        <w:rPr>
          <w:rFonts w:cstheme="minorHAnsi"/>
          <w:b/>
        </w:rPr>
        <w:t xml:space="preserve"> (34 points total)</w:t>
      </w:r>
      <w:r>
        <w:rPr>
          <w:rFonts w:cstheme="minorHAnsi"/>
          <w:b/>
        </w:rPr>
        <w:t>:</w:t>
      </w: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>State the Rule of 72:</w:t>
      </w:r>
    </w:p>
    <w:p w:rsidR="00E0084B" w:rsidRDefault="00E0084B" w:rsidP="005B77D4">
      <w:pPr>
        <w:rPr>
          <w:rFonts w:cstheme="minorHAnsi"/>
          <w:b/>
        </w:rPr>
      </w:pP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 xml:space="preserve">What is the formula for the Rule of </w:t>
      </w:r>
      <w:proofErr w:type="gramStart"/>
      <w:r>
        <w:rPr>
          <w:rFonts w:cstheme="minorHAnsi"/>
          <w:b/>
        </w:rPr>
        <w:t>72:</w:t>
      </w:r>
      <w:proofErr w:type="gramEnd"/>
    </w:p>
    <w:p w:rsidR="00E0084B" w:rsidRDefault="00E0084B" w:rsidP="005B77D4">
      <w:pPr>
        <w:rPr>
          <w:rFonts w:cstheme="minorHAnsi"/>
          <w:b/>
        </w:rPr>
      </w:pP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 xml:space="preserve">Who is credited for discovering the Rule of </w:t>
      </w:r>
      <w:proofErr w:type="gramStart"/>
      <w:r>
        <w:rPr>
          <w:rFonts w:cstheme="minorHAnsi"/>
          <w:b/>
        </w:rPr>
        <w:t>72:</w:t>
      </w:r>
      <w:proofErr w:type="gramEnd"/>
    </w:p>
    <w:p w:rsidR="00E0084B" w:rsidRDefault="00E0084B" w:rsidP="005B77D4">
      <w:pPr>
        <w:rPr>
          <w:rFonts w:cstheme="minorHAnsi"/>
          <w:b/>
        </w:rPr>
      </w:pPr>
    </w:p>
    <w:p w:rsidR="00E0084B" w:rsidRDefault="00E0084B" w:rsidP="005B77D4">
      <w:pPr>
        <w:rPr>
          <w:rFonts w:cstheme="minorHAnsi"/>
          <w:b/>
        </w:rPr>
      </w:pPr>
      <w:r>
        <w:rPr>
          <w:rFonts w:cstheme="minorHAnsi"/>
          <w:b/>
        </w:rPr>
        <w:t>The Rule of 72 will determine the following:</w:t>
      </w:r>
    </w:p>
    <w:p w:rsidR="00E0084B" w:rsidRDefault="00E0084B" w:rsidP="00E0084B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How many years it will take an investment to ________________ at a given interest rate using ______________________   ____________________</w:t>
      </w:r>
      <w:proofErr w:type="gramStart"/>
      <w:r>
        <w:rPr>
          <w:rFonts w:cstheme="minorHAnsi"/>
          <w:b/>
        </w:rPr>
        <w:t>.</w:t>
      </w:r>
      <w:proofErr w:type="gramEnd"/>
    </w:p>
    <w:p w:rsidR="00E0084B" w:rsidRDefault="00E0084B" w:rsidP="00E0084B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How long it will take ___________________ to double if _________________________________.</w:t>
      </w:r>
    </w:p>
    <w:p w:rsidR="00E0084B" w:rsidRDefault="00CC2B14" w:rsidP="00E0084B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The interest rate an investment must earn to __________________________________________.</w:t>
      </w:r>
    </w:p>
    <w:p w:rsidR="00CC2B14" w:rsidRDefault="00CC2B14" w:rsidP="00E0084B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How many times money (or ______________) will double in ______________________________.</w:t>
      </w:r>
    </w:p>
    <w:p w:rsidR="00CC2B14" w:rsidRDefault="00CC2B14" w:rsidP="00CC2B14">
      <w:pPr>
        <w:rPr>
          <w:rFonts w:cstheme="minorHAnsi"/>
          <w:b/>
        </w:rPr>
      </w:pPr>
      <w:r>
        <w:rPr>
          <w:rFonts w:cstheme="minorHAnsi"/>
          <w:b/>
        </w:rPr>
        <w:t>Things to know about the Rule of 72:</w:t>
      </w:r>
    </w:p>
    <w:p w:rsidR="00CC2B14" w:rsidRDefault="00CC2B14" w:rsidP="00CC2B1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 xml:space="preserve">It is only </w:t>
      </w:r>
      <w:proofErr w:type="gramStart"/>
      <w:r>
        <w:rPr>
          <w:rFonts w:cstheme="minorHAnsi"/>
          <w:b/>
        </w:rPr>
        <w:t>an</w:t>
      </w:r>
      <w:proofErr w:type="gramEnd"/>
      <w:r>
        <w:rPr>
          <w:rFonts w:cstheme="minorHAnsi"/>
          <w:b/>
        </w:rPr>
        <w:t xml:space="preserve"> ________________________________.</w:t>
      </w:r>
    </w:p>
    <w:p w:rsidR="00CC2B14" w:rsidRDefault="00CC2B14" w:rsidP="00CC2B1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The interest rate must __________________________________________.</w:t>
      </w:r>
    </w:p>
    <w:p w:rsidR="00CC2B14" w:rsidRDefault="00CC2B14" w:rsidP="00CC2B1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The equation does not allow for __________________________________________to be made to the _____________________________________.</w:t>
      </w:r>
    </w:p>
    <w:p w:rsidR="00CC2B14" w:rsidRDefault="00CC2B14" w:rsidP="00CC2B1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Interest earned is ___________________________________.</w:t>
      </w:r>
    </w:p>
    <w:p w:rsidR="00CC2B14" w:rsidRDefault="00CC2B14" w:rsidP="00CC2B1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 are not included within the equation.</w:t>
      </w:r>
    </w:p>
    <w:p w:rsidR="00EC08BF" w:rsidRDefault="00DB0781" w:rsidP="00DB0781">
      <w:pPr>
        <w:rPr>
          <w:rFonts w:cstheme="minorHAnsi"/>
          <w:b/>
        </w:rPr>
      </w:pPr>
      <w:r>
        <w:rPr>
          <w:rFonts w:cstheme="minorHAnsi"/>
          <w:b/>
        </w:rPr>
        <w:t>Write down the formula to determine how often an individual’s investment in the stock market has doubled since 1926 (average return of 11%)</w:t>
      </w:r>
      <w:r w:rsidR="00EC08BF">
        <w:rPr>
          <w:rFonts w:cstheme="minorHAnsi"/>
          <w:b/>
        </w:rPr>
        <w:t>:</w:t>
      </w:r>
    </w:p>
    <w:p w:rsidR="00B1055C" w:rsidRDefault="00B1055C" w:rsidP="00B1055C">
      <w:pPr>
        <w:jc w:val="center"/>
        <w:rPr>
          <w:rFonts w:cstheme="minorHAnsi"/>
          <w:b/>
          <w:sz w:val="48"/>
          <w:szCs w:val="48"/>
        </w:rPr>
      </w:pPr>
    </w:p>
    <w:p w:rsidR="00EC08BF" w:rsidRPr="00B1055C" w:rsidRDefault="00EC08BF" w:rsidP="00B1055C">
      <w:pPr>
        <w:jc w:val="center"/>
        <w:rPr>
          <w:rFonts w:cstheme="minorHAnsi"/>
          <w:b/>
          <w:sz w:val="48"/>
          <w:szCs w:val="48"/>
        </w:rPr>
      </w:pPr>
      <w:r w:rsidRPr="00EC08BF">
        <w:rPr>
          <w:rFonts w:cstheme="minorHAnsi"/>
          <w:b/>
          <w:sz w:val="48"/>
          <w:szCs w:val="48"/>
        </w:rPr>
        <w:lastRenderedPageBreak/>
        <w:t>Rule of 72 Calculations</w:t>
      </w:r>
    </w:p>
    <w:p w:rsidR="00EC08BF" w:rsidRDefault="00EC08BF" w:rsidP="00DB0781">
      <w:pPr>
        <w:rPr>
          <w:rFonts w:cstheme="minorHAnsi"/>
          <w:b/>
        </w:rPr>
      </w:pPr>
      <w:r>
        <w:rPr>
          <w:rFonts w:cstheme="minorHAnsi"/>
          <w:b/>
        </w:rPr>
        <w:t>Directions: Use the Rule of 72 to answer the following questions</w:t>
      </w:r>
      <w:r w:rsidR="00A871C4">
        <w:rPr>
          <w:rFonts w:cstheme="minorHAnsi"/>
          <w:b/>
        </w:rPr>
        <w:t xml:space="preserve"> (Questions 1-9 are worth 5 points each, Question 10 is worth 35 points, for a total of 80 points)</w:t>
      </w:r>
      <w:r>
        <w:rPr>
          <w:rFonts w:cstheme="minorHAnsi"/>
          <w:b/>
        </w:rPr>
        <w:t>:</w:t>
      </w:r>
    </w:p>
    <w:p w:rsidR="00765CCB" w:rsidRDefault="00B265C7" w:rsidP="00765CC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How long will it take the following investments to double?  Round to two decimal places.</w:t>
      </w:r>
    </w:p>
    <w:p w:rsidR="00765CCB" w:rsidRPr="00765CCB" w:rsidRDefault="00765CCB" w:rsidP="00765CCB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3035"/>
        <w:gridCol w:w="3029"/>
      </w:tblGrid>
      <w:tr w:rsidR="00B265C7" w:rsidTr="00A871C4">
        <w:tc>
          <w:tcPr>
            <w:tcW w:w="3288" w:type="dxa"/>
            <w:shd w:val="clear" w:color="auto" w:fill="C6D9F1" w:themeFill="text2" w:themeFillTint="33"/>
          </w:tcPr>
          <w:p w:rsidR="00B265C7" w:rsidRDefault="00B265C7" w:rsidP="00B265C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Investment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B265C7" w:rsidRDefault="00B265C7" w:rsidP="00B265C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Interest Rate</w:t>
            </w:r>
          </w:p>
        </w:tc>
        <w:tc>
          <w:tcPr>
            <w:tcW w:w="3288" w:type="dxa"/>
            <w:shd w:val="clear" w:color="auto" w:fill="C6D9F1" w:themeFill="text2" w:themeFillTint="33"/>
          </w:tcPr>
          <w:p w:rsidR="00B265C7" w:rsidRDefault="00B265C7" w:rsidP="00B265C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Years to Double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B265C7" w:rsidP="00B265C7">
            <w:pPr>
              <w:pStyle w:val="ListParagraph"/>
              <w:ind w:left="0"/>
              <w:rPr>
                <w:rFonts w:cstheme="minorHAnsi"/>
              </w:rPr>
            </w:pPr>
            <w:r w:rsidRPr="00B265C7">
              <w:rPr>
                <w:rFonts w:cstheme="minorHAnsi"/>
              </w:rPr>
              <w:t>Money Market Mutual Fund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3.1%</w:t>
            </w:r>
          </w:p>
        </w:tc>
        <w:tc>
          <w:tcPr>
            <w:tcW w:w="3288" w:type="dxa"/>
          </w:tcPr>
          <w:p w:rsidR="00B265C7" w:rsidRPr="00B265C7" w:rsidRDefault="004A21A8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23.2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Small Company Stock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12.6%</w:t>
            </w:r>
          </w:p>
        </w:tc>
        <w:tc>
          <w:tcPr>
            <w:tcW w:w="3288" w:type="dxa"/>
          </w:tcPr>
          <w:p w:rsidR="00B265C7" w:rsidRPr="00B265C7" w:rsidRDefault="004A21A8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5.7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3-year Certificate of Deposit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2.8%</w:t>
            </w:r>
          </w:p>
        </w:tc>
        <w:tc>
          <w:tcPr>
            <w:tcW w:w="3288" w:type="dxa"/>
          </w:tcPr>
          <w:p w:rsidR="00B265C7" w:rsidRPr="00B265C7" w:rsidRDefault="004A21A8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25.7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5-year Certificate of Deposit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5.1%</w:t>
            </w:r>
          </w:p>
        </w:tc>
        <w:tc>
          <w:tcPr>
            <w:tcW w:w="3288" w:type="dxa"/>
          </w:tcPr>
          <w:p w:rsidR="00B265C7" w:rsidRPr="00B265C7" w:rsidRDefault="00DA11FD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14.1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Large Company Stock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11.3%</w:t>
            </w:r>
          </w:p>
        </w:tc>
        <w:tc>
          <w:tcPr>
            <w:tcW w:w="3288" w:type="dxa"/>
          </w:tcPr>
          <w:p w:rsidR="00B265C7" w:rsidRPr="00B265C7" w:rsidRDefault="00DA11FD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Government Stock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5.3%</w:t>
            </w:r>
          </w:p>
        </w:tc>
        <w:tc>
          <w:tcPr>
            <w:tcW w:w="3288" w:type="dxa"/>
          </w:tcPr>
          <w:p w:rsidR="00B265C7" w:rsidRPr="00B265C7" w:rsidRDefault="00004CF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13.6</w:t>
            </w:r>
          </w:p>
        </w:tc>
      </w:tr>
      <w:tr w:rsidR="00B265C7" w:rsidTr="00B265C7">
        <w:tc>
          <w:tcPr>
            <w:tcW w:w="3288" w:type="dxa"/>
          </w:tcPr>
          <w:p w:rsidR="00B265C7" w:rsidRPr="00B265C7" w:rsidRDefault="0066340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Treasury Bills</w:t>
            </w:r>
          </w:p>
        </w:tc>
        <w:tc>
          <w:tcPr>
            <w:tcW w:w="3288" w:type="dxa"/>
          </w:tcPr>
          <w:p w:rsidR="00B265C7" w:rsidRPr="00B265C7" w:rsidRDefault="00663409" w:rsidP="0066340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3.8%</w:t>
            </w:r>
          </w:p>
        </w:tc>
        <w:tc>
          <w:tcPr>
            <w:tcW w:w="3288" w:type="dxa"/>
          </w:tcPr>
          <w:p w:rsidR="00B265C7" w:rsidRPr="00B265C7" w:rsidRDefault="00004CF9" w:rsidP="00B265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18.9</w:t>
            </w:r>
          </w:p>
        </w:tc>
      </w:tr>
    </w:tbl>
    <w:p w:rsidR="00B265C7" w:rsidRDefault="00B265C7" w:rsidP="00B265C7">
      <w:pPr>
        <w:pStyle w:val="ListParagraph"/>
        <w:rPr>
          <w:rFonts w:cstheme="minorHAnsi"/>
          <w:b/>
        </w:rPr>
      </w:pPr>
    </w:p>
    <w:p w:rsidR="006D2A89" w:rsidRDefault="00656937" w:rsidP="001108A8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Jenny has a</w:t>
      </w:r>
      <w:r w:rsidR="00765CCB">
        <w:rPr>
          <w:rFonts w:cstheme="minorHAnsi"/>
          <w:b/>
        </w:rPr>
        <w:t xml:space="preserve"> $3,000 balance on her credit card with an 18% interest rate.  If she makes no payments on her card and no late fees were charged, how long </w:t>
      </w:r>
      <w:proofErr w:type="gramStart"/>
      <w:r w:rsidR="00765CCB">
        <w:rPr>
          <w:rFonts w:cstheme="minorHAnsi"/>
          <w:b/>
        </w:rPr>
        <w:t>will it</w:t>
      </w:r>
      <w:proofErr w:type="gramEnd"/>
      <w:r w:rsidR="00765CCB">
        <w:rPr>
          <w:rFonts w:cstheme="minorHAnsi"/>
          <w:b/>
        </w:rPr>
        <w:t xml:space="preserve"> tak</w:t>
      </w:r>
      <w:r w:rsidR="006D2A89">
        <w:rPr>
          <w:rFonts w:cstheme="minorHAnsi"/>
          <w:b/>
        </w:rPr>
        <w:t>e</w:t>
      </w:r>
      <w:r w:rsidR="00765CCB">
        <w:rPr>
          <w:rFonts w:cstheme="minorHAnsi"/>
          <w:b/>
        </w:rPr>
        <w:t xml:space="preserve"> for her debt to double</w:t>
      </w:r>
      <w:r w:rsidR="006D2A89">
        <w:rPr>
          <w:rFonts w:cstheme="minorHAnsi"/>
          <w:b/>
        </w:rPr>
        <w:t>, if not payments are made.</w:t>
      </w:r>
      <w:r w:rsidR="00DA11FD">
        <w:rPr>
          <w:rFonts w:cstheme="minorHAnsi"/>
          <w:b/>
        </w:rPr>
        <w:t xml:space="preserve">     72 / 18 = 4 years</w:t>
      </w:r>
      <w:bookmarkStart w:id="0" w:name="_GoBack"/>
      <w:bookmarkEnd w:id="0"/>
    </w:p>
    <w:p w:rsidR="001108A8" w:rsidRPr="001108A8" w:rsidRDefault="001108A8" w:rsidP="001108A8">
      <w:pPr>
        <w:pStyle w:val="ListParagraph"/>
        <w:rPr>
          <w:rFonts w:cstheme="minorHAnsi"/>
          <w:b/>
        </w:rPr>
      </w:pPr>
    </w:p>
    <w:p w:rsidR="006D2A89" w:rsidRDefault="006D2A89" w:rsidP="00FC3637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What if Jenny’s APR was 22% and she makes no payments on her card and no late fees were charged?  How long would it take her debt to double?</w:t>
      </w:r>
      <w:r w:rsidR="00BA0656">
        <w:rPr>
          <w:rFonts w:cstheme="minorHAnsi"/>
          <w:b/>
        </w:rPr>
        <w:t xml:space="preserve">     72 / 22 = 3.3 years</w:t>
      </w:r>
    </w:p>
    <w:p w:rsidR="00FC3637" w:rsidRPr="00FC3637" w:rsidRDefault="00FC3637" w:rsidP="00FC3637">
      <w:pPr>
        <w:pStyle w:val="ListParagraph"/>
        <w:rPr>
          <w:rFonts w:cstheme="minorHAnsi"/>
          <w:b/>
        </w:rPr>
      </w:pPr>
    </w:p>
    <w:p w:rsidR="006D2A89" w:rsidRDefault="006D2A89" w:rsidP="006D2A89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Tanner has invested $500 for college.  What rate of return must Tanner earn for his investment to double in four years?</w:t>
      </w:r>
      <w:r w:rsidR="00BA0656">
        <w:rPr>
          <w:rFonts w:cstheme="minorHAnsi"/>
          <w:b/>
        </w:rPr>
        <w:t xml:space="preserve">     72 / 4 = 18%</w:t>
      </w:r>
    </w:p>
    <w:p w:rsidR="001108A8" w:rsidRPr="001108A8" w:rsidRDefault="001108A8" w:rsidP="001108A8">
      <w:pPr>
        <w:pStyle w:val="ListParagraph"/>
        <w:rPr>
          <w:rFonts w:cstheme="minorHAnsi"/>
          <w:b/>
        </w:rPr>
      </w:pPr>
    </w:p>
    <w:p w:rsidR="006D2A89" w:rsidRDefault="006D2A89" w:rsidP="00765CCB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Kari would like to make a down payment on a house.  She currently has $7,000.  What rate of return must Kari receive for her investment to double in seven years?</w:t>
      </w:r>
      <w:r w:rsidR="00FC3637">
        <w:rPr>
          <w:rFonts w:cstheme="minorHAnsi"/>
          <w:b/>
        </w:rPr>
        <w:t xml:space="preserve">   72 / 7 = 10.28%</w:t>
      </w:r>
    </w:p>
    <w:p w:rsidR="006D2A89" w:rsidRPr="006D2A89" w:rsidRDefault="006D2A89" w:rsidP="006D2A89">
      <w:pPr>
        <w:pStyle w:val="ListParagraph"/>
        <w:rPr>
          <w:rFonts w:cstheme="minorHAnsi"/>
          <w:b/>
        </w:rPr>
      </w:pPr>
    </w:p>
    <w:p w:rsidR="001108A8" w:rsidRPr="001108A8" w:rsidRDefault="001108A8" w:rsidP="001108A8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Mark has invested $300 at age 16 into a money market account earning 6%.  How many times will Mark’s investment double before age 52?  What would his investment be worth?  Fill out the following table:</w:t>
      </w:r>
      <w:r w:rsidR="004A21A8">
        <w:rPr>
          <w:rFonts w:cstheme="minorHAnsi"/>
          <w:b/>
        </w:rPr>
        <w:t xml:space="preserve">   72 / 6% = 12 years</w:t>
      </w:r>
    </w:p>
    <w:p w:rsidR="001108A8" w:rsidRPr="001108A8" w:rsidRDefault="001108A8" w:rsidP="001108A8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1"/>
        <w:gridCol w:w="4603"/>
      </w:tblGrid>
      <w:tr w:rsidR="001108A8" w:rsidTr="00A871C4">
        <w:tc>
          <w:tcPr>
            <w:tcW w:w="4932" w:type="dxa"/>
            <w:shd w:val="clear" w:color="auto" w:fill="C6D9F1" w:themeFill="text2" w:themeFillTint="33"/>
          </w:tcPr>
          <w:p w:rsidR="001108A8" w:rsidRDefault="003904DA" w:rsidP="003904D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</w:tc>
        <w:tc>
          <w:tcPr>
            <w:tcW w:w="4932" w:type="dxa"/>
            <w:shd w:val="clear" w:color="auto" w:fill="C6D9F1" w:themeFill="text2" w:themeFillTint="33"/>
          </w:tcPr>
          <w:p w:rsidR="001108A8" w:rsidRDefault="003904DA" w:rsidP="003904D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Investment Value</w:t>
            </w:r>
          </w:p>
        </w:tc>
      </w:tr>
      <w:tr w:rsidR="001108A8" w:rsidTr="001108A8">
        <w:tc>
          <w:tcPr>
            <w:tcW w:w="4932" w:type="dxa"/>
          </w:tcPr>
          <w:p w:rsidR="001108A8" w:rsidRPr="003904DA" w:rsidRDefault="003904DA" w:rsidP="003904D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904DA">
              <w:rPr>
                <w:rFonts w:cstheme="minorHAnsi"/>
              </w:rPr>
              <w:t>16</w:t>
            </w:r>
          </w:p>
        </w:tc>
        <w:tc>
          <w:tcPr>
            <w:tcW w:w="4932" w:type="dxa"/>
          </w:tcPr>
          <w:p w:rsidR="001108A8" w:rsidRPr="003904DA" w:rsidRDefault="003904DA" w:rsidP="003904DA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3904DA">
              <w:rPr>
                <w:rFonts w:cstheme="minorHAnsi"/>
              </w:rPr>
              <w:t>$3</w:t>
            </w:r>
            <w:r>
              <w:rPr>
                <w:rFonts w:cstheme="minorHAnsi"/>
              </w:rPr>
              <w:t>00</w:t>
            </w:r>
          </w:p>
        </w:tc>
      </w:tr>
      <w:tr w:rsidR="001108A8" w:rsidTr="001108A8">
        <w:tc>
          <w:tcPr>
            <w:tcW w:w="4932" w:type="dxa"/>
          </w:tcPr>
          <w:p w:rsidR="001108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28</w:t>
            </w:r>
          </w:p>
        </w:tc>
        <w:tc>
          <w:tcPr>
            <w:tcW w:w="4932" w:type="dxa"/>
          </w:tcPr>
          <w:p w:rsidR="001108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$600</w:t>
            </w:r>
          </w:p>
        </w:tc>
      </w:tr>
      <w:tr w:rsidR="001108A8" w:rsidTr="001108A8">
        <w:tc>
          <w:tcPr>
            <w:tcW w:w="4932" w:type="dxa"/>
          </w:tcPr>
          <w:p w:rsidR="001108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40</w:t>
            </w:r>
          </w:p>
        </w:tc>
        <w:tc>
          <w:tcPr>
            <w:tcW w:w="4932" w:type="dxa"/>
          </w:tcPr>
          <w:p w:rsidR="004A21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$1,200</w:t>
            </w:r>
          </w:p>
        </w:tc>
      </w:tr>
      <w:tr w:rsidR="001108A8" w:rsidTr="001108A8">
        <w:tc>
          <w:tcPr>
            <w:tcW w:w="4932" w:type="dxa"/>
          </w:tcPr>
          <w:p w:rsidR="001108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52</w:t>
            </w:r>
          </w:p>
        </w:tc>
        <w:tc>
          <w:tcPr>
            <w:tcW w:w="4932" w:type="dxa"/>
          </w:tcPr>
          <w:p w:rsidR="001108A8" w:rsidRDefault="004A21A8" w:rsidP="001108A8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$2,400</w:t>
            </w:r>
          </w:p>
        </w:tc>
      </w:tr>
      <w:tr w:rsidR="001108A8" w:rsidTr="001108A8">
        <w:tc>
          <w:tcPr>
            <w:tcW w:w="4932" w:type="dxa"/>
          </w:tcPr>
          <w:p w:rsidR="001108A8" w:rsidRDefault="001108A8" w:rsidP="001108A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4932" w:type="dxa"/>
          </w:tcPr>
          <w:p w:rsidR="001108A8" w:rsidRDefault="001108A8" w:rsidP="001108A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1108A8" w:rsidTr="001108A8">
        <w:tc>
          <w:tcPr>
            <w:tcW w:w="4932" w:type="dxa"/>
          </w:tcPr>
          <w:p w:rsidR="001108A8" w:rsidRDefault="001108A8" w:rsidP="001108A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4932" w:type="dxa"/>
          </w:tcPr>
          <w:p w:rsidR="001108A8" w:rsidRDefault="001108A8" w:rsidP="001108A8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1108A8" w:rsidRPr="001108A8" w:rsidRDefault="001108A8" w:rsidP="001108A8">
      <w:pPr>
        <w:pStyle w:val="ListParagraph"/>
        <w:rPr>
          <w:rFonts w:cstheme="minorHAnsi"/>
          <w:b/>
        </w:rPr>
      </w:pPr>
    </w:p>
    <w:p w:rsidR="001108A8" w:rsidRDefault="00925299" w:rsidP="00925299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What would Mark’s investment be worth at age 52 if he has waited 12 years (age 28) to invest?</w:t>
      </w:r>
    </w:p>
    <w:p w:rsidR="00442804" w:rsidRDefault="004A21A8" w:rsidP="00442804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$1,200</w:t>
      </w:r>
    </w:p>
    <w:p w:rsidR="00442804" w:rsidRDefault="00442804" w:rsidP="00442804">
      <w:pPr>
        <w:pStyle w:val="ListParagraph"/>
        <w:rPr>
          <w:rFonts w:cstheme="minorHAnsi"/>
          <w:b/>
        </w:rPr>
      </w:pPr>
    </w:p>
    <w:p w:rsidR="00442804" w:rsidRPr="00442804" w:rsidRDefault="00442804" w:rsidP="00442804">
      <w:pPr>
        <w:pStyle w:val="ListParagraph"/>
        <w:rPr>
          <w:rFonts w:cstheme="minorHAnsi"/>
          <w:b/>
        </w:rPr>
      </w:pPr>
    </w:p>
    <w:p w:rsidR="00442804" w:rsidRDefault="00442804" w:rsidP="00442804">
      <w:pPr>
        <w:pStyle w:val="ListParagraph"/>
        <w:rPr>
          <w:rFonts w:cstheme="minorHAnsi"/>
          <w:b/>
        </w:rPr>
      </w:pPr>
    </w:p>
    <w:p w:rsidR="00925299" w:rsidRDefault="00925299" w:rsidP="00925299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Jackie’s parent invested $3,000 into a common stock earning 10% annually when she was born.  How many times will Jackie’s investment double before age 36?  What will her investment be worth?  Fill out the following table:</w:t>
      </w:r>
      <w:r w:rsidR="00BA0656">
        <w:rPr>
          <w:rFonts w:cstheme="minorHAnsi"/>
          <w:b/>
        </w:rPr>
        <w:t xml:space="preserve">     72 / 10 = 7.2 years.</w:t>
      </w:r>
    </w:p>
    <w:p w:rsidR="00265E04" w:rsidRDefault="00265E04" w:rsidP="00265E04">
      <w:pPr>
        <w:pStyle w:val="ListParagraph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3"/>
        <w:gridCol w:w="4601"/>
      </w:tblGrid>
      <w:tr w:rsidR="00925299" w:rsidTr="00A871C4">
        <w:tc>
          <w:tcPr>
            <w:tcW w:w="4932" w:type="dxa"/>
            <w:shd w:val="clear" w:color="auto" w:fill="C6D9F1" w:themeFill="text2" w:themeFillTint="33"/>
          </w:tcPr>
          <w:p w:rsidR="00925299" w:rsidRDefault="003904DA" w:rsidP="003904D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</w:tc>
        <w:tc>
          <w:tcPr>
            <w:tcW w:w="4932" w:type="dxa"/>
            <w:shd w:val="clear" w:color="auto" w:fill="C6D9F1" w:themeFill="text2" w:themeFillTint="33"/>
          </w:tcPr>
          <w:p w:rsidR="00925299" w:rsidRDefault="003904DA" w:rsidP="003904D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Investment Value</w:t>
            </w:r>
          </w:p>
        </w:tc>
      </w:tr>
      <w:tr w:rsidR="00925299" w:rsidTr="00925299">
        <w:tc>
          <w:tcPr>
            <w:tcW w:w="4932" w:type="dxa"/>
          </w:tcPr>
          <w:p w:rsidR="00925299" w:rsidRPr="00265E04" w:rsidRDefault="00265E04" w:rsidP="00265E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65E04">
              <w:rPr>
                <w:rFonts w:cstheme="minorHAnsi"/>
              </w:rPr>
              <w:t>0</w:t>
            </w:r>
          </w:p>
        </w:tc>
        <w:tc>
          <w:tcPr>
            <w:tcW w:w="4932" w:type="dxa"/>
          </w:tcPr>
          <w:p w:rsidR="00925299" w:rsidRPr="00265E04" w:rsidRDefault="00265E04" w:rsidP="00265E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65E04">
              <w:rPr>
                <w:rFonts w:cstheme="minorHAnsi"/>
              </w:rPr>
              <w:t>$3,000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7.2</w:t>
            </w:r>
          </w:p>
        </w:tc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6,000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14.4</w:t>
            </w:r>
          </w:p>
        </w:tc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12,000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21.6</w:t>
            </w:r>
          </w:p>
        </w:tc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24,000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28.8</w:t>
            </w:r>
          </w:p>
        </w:tc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48,000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36.0</w:t>
            </w:r>
          </w:p>
        </w:tc>
        <w:tc>
          <w:tcPr>
            <w:tcW w:w="4932" w:type="dxa"/>
          </w:tcPr>
          <w:p w:rsidR="00925299" w:rsidRDefault="00BA0656" w:rsidP="00925299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96,000</w:t>
            </w:r>
          </w:p>
        </w:tc>
      </w:tr>
      <w:tr w:rsidR="00925299" w:rsidTr="00925299">
        <w:tc>
          <w:tcPr>
            <w:tcW w:w="4932" w:type="dxa"/>
          </w:tcPr>
          <w:p w:rsidR="00925299" w:rsidRDefault="00925299" w:rsidP="0092529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4932" w:type="dxa"/>
          </w:tcPr>
          <w:p w:rsidR="00925299" w:rsidRDefault="00925299" w:rsidP="0092529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925299" w:rsidRDefault="00925299" w:rsidP="00925299">
      <w:pPr>
        <w:pStyle w:val="ListParagraph"/>
        <w:rPr>
          <w:rFonts w:cstheme="minorHAnsi"/>
          <w:b/>
        </w:rPr>
      </w:pPr>
    </w:p>
    <w:p w:rsidR="00925299" w:rsidRPr="00265E04" w:rsidRDefault="00265E04" w:rsidP="00265E04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What would Jackie’s investment be worth at age 36 if her parents had waited to invest until she was age 7?</w:t>
      </w:r>
      <w:r w:rsidR="00BA0656">
        <w:rPr>
          <w:rFonts w:cstheme="minorHAnsi"/>
          <w:b/>
        </w:rPr>
        <w:t xml:space="preserve">     $48,000</w:t>
      </w:r>
    </w:p>
    <w:p w:rsidR="00925299" w:rsidRDefault="00925299" w:rsidP="00925299">
      <w:pPr>
        <w:rPr>
          <w:rFonts w:cstheme="minorHAnsi"/>
          <w:b/>
        </w:rPr>
      </w:pPr>
    </w:p>
    <w:p w:rsidR="00265E04" w:rsidRDefault="00265E04" w:rsidP="00265E04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Intrapersonal Reflection Essay Response – State a reason why it’s important to begin your investments and savings early, and explain w</w:t>
      </w:r>
      <w:r w:rsidR="00A871C4">
        <w:rPr>
          <w:rFonts w:cstheme="minorHAnsi"/>
          <w:b/>
        </w:rPr>
        <w:t>hat you plan to save for and why?</w:t>
      </w:r>
    </w:p>
    <w:p w:rsidR="00410C24" w:rsidRPr="00410C24" w:rsidRDefault="00410C24" w:rsidP="00410C24">
      <w:pPr>
        <w:pStyle w:val="ListParagraph"/>
        <w:rPr>
          <w:rFonts w:cstheme="minorHAnsi"/>
          <w:b/>
        </w:rPr>
      </w:pPr>
    </w:p>
    <w:p w:rsidR="00410C24" w:rsidRDefault="00410C24" w:rsidP="00410C24">
      <w:pPr>
        <w:rPr>
          <w:rFonts w:cstheme="minorHAnsi"/>
          <w:b/>
        </w:rPr>
      </w:pPr>
    </w:p>
    <w:p w:rsidR="00410C24" w:rsidRDefault="00410C24" w:rsidP="00410C24">
      <w:pPr>
        <w:rPr>
          <w:rFonts w:cstheme="minorHAnsi"/>
          <w:b/>
        </w:rPr>
      </w:pPr>
    </w:p>
    <w:p w:rsidR="00410C24" w:rsidRDefault="00410C24" w:rsidP="00410C24">
      <w:pPr>
        <w:rPr>
          <w:rFonts w:cstheme="minorHAnsi"/>
          <w:b/>
        </w:rPr>
      </w:pPr>
    </w:p>
    <w:p w:rsidR="00442804" w:rsidRDefault="00442804" w:rsidP="000E7DF1">
      <w:pPr>
        <w:rPr>
          <w:rFonts w:cstheme="minorHAnsi"/>
          <w:b/>
          <w:sz w:val="48"/>
          <w:szCs w:val="48"/>
        </w:rPr>
      </w:pPr>
    </w:p>
    <w:sectPr w:rsidR="00442804" w:rsidSect="00B1055C">
      <w:footerReference w:type="default" r:id="rId9"/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8D" w:rsidRDefault="00A4588D" w:rsidP="002E7375">
      <w:pPr>
        <w:spacing w:after="0" w:line="240" w:lineRule="auto"/>
      </w:pPr>
      <w:r>
        <w:separator/>
      </w:r>
    </w:p>
  </w:endnote>
  <w:endnote w:type="continuationSeparator" w:id="0">
    <w:p w:rsidR="00A4588D" w:rsidRDefault="00A4588D" w:rsidP="002E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38" w:rsidRDefault="00816738">
    <w:pPr>
      <w:pStyle w:val="Footer"/>
      <w:jc w:val="center"/>
    </w:pPr>
  </w:p>
  <w:p w:rsidR="00816738" w:rsidRDefault="00816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8D" w:rsidRDefault="00A4588D" w:rsidP="002E7375">
      <w:pPr>
        <w:spacing w:after="0" w:line="240" w:lineRule="auto"/>
      </w:pPr>
      <w:r>
        <w:separator/>
      </w:r>
    </w:p>
  </w:footnote>
  <w:footnote w:type="continuationSeparator" w:id="0">
    <w:p w:rsidR="00A4588D" w:rsidRDefault="00A4588D" w:rsidP="002E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35E"/>
    <w:multiLevelType w:val="hybridMultilevel"/>
    <w:tmpl w:val="BE8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D91"/>
    <w:multiLevelType w:val="hybridMultilevel"/>
    <w:tmpl w:val="7222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5E0A"/>
    <w:multiLevelType w:val="hybridMultilevel"/>
    <w:tmpl w:val="0C96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2348A"/>
    <w:multiLevelType w:val="hybridMultilevel"/>
    <w:tmpl w:val="5124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3EC"/>
    <w:multiLevelType w:val="hybridMultilevel"/>
    <w:tmpl w:val="C186C354"/>
    <w:lvl w:ilvl="0" w:tplc="4764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03D9"/>
    <w:multiLevelType w:val="hybridMultilevel"/>
    <w:tmpl w:val="4334B45C"/>
    <w:lvl w:ilvl="0" w:tplc="416A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5"/>
    <w:rsid w:val="000027BC"/>
    <w:rsid w:val="00004CF9"/>
    <w:rsid w:val="00007BD9"/>
    <w:rsid w:val="0002383D"/>
    <w:rsid w:val="00042BFE"/>
    <w:rsid w:val="00050AB6"/>
    <w:rsid w:val="00067CC4"/>
    <w:rsid w:val="00077ADA"/>
    <w:rsid w:val="000E7DF1"/>
    <w:rsid w:val="001108A8"/>
    <w:rsid w:val="001540CA"/>
    <w:rsid w:val="00166E59"/>
    <w:rsid w:val="00170D61"/>
    <w:rsid w:val="001B2F72"/>
    <w:rsid w:val="001B7FB7"/>
    <w:rsid w:val="002516CE"/>
    <w:rsid w:val="00261084"/>
    <w:rsid w:val="002637AD"/>
    <w:rsid w:val="00265E04"/>
    <w:rsid w:val="002E7375"/>
    <w:rsid w:val="002F4EBC"/>
    <w:rsid w:val="00305E97"/>
    <w:rsid w:val="0031488D"/>
    <w:rsid w:val="003904DA"/>
    <w:rsid w:val="003C21B3"/>
    <w:rsid w:val="003C7468"/>
    <w:rsid w:val="003F0570"/>
    <w:rsid w:val="00410C24"/>
    <w:rsid w:val="00442804"/>
    <w:rsid w:val="0047407C"/>
    <w:rsid w:val="004776E1"/>
    <w:rsid w:val="00477E3E"/>
    <w:rsid w:val="004A0FAE"/>
    <w:rsid w:val="004A21A8"/>
    <w:rsid w:val="004B74A9"/>
    <w:rsid w:val="004E3FC4"/>
    <w:rsid w:val="004F028C"/>
    <w:rsid w:val="004F5B41"/>
    <w:rsid w:val="00503B2F"/>
    <w:rsid w:val="00554C5E"/>
    <w:rsid w:val="00562532"/>
    <w:rsid w:val="00571BF9"/>
    <w:rsid w:val="005761B5"/>
    <w:rsid w:val="005B736D"/>
    <w:rsid w:val="005B77D4"/>
    <w:rsid w:val="005F54C4"/>
    <w:rsid w:val="00656937"/>
    <w:rsid w:val="00663409"/>
    <w:rsid w:val="006673B5"/>
    <w:rsid w:val="006956A1"/>
    <w:rsid w:val="006D2A89"/>
    <w:rsid w:val="006F0358"/>
    <w:rsid w:val="00765CCB"/>
    <w:rsid w:val="00790031"/>
    <w:rsid w:val="007B3DD7"/>
    <w:rsid w:val="007B59E5"/>
    <w:rsid w:val="007E67F6"/>
    <w:rsid w:val="00816738"/>
    <w:rsid w:val="00821541"/>
    <w:rsid w:val="00865AB3"/>
    <w:rsid w:val="008866DA"/>
    <w:rsid w:val="00890BBD"/>
    <w:rsid w:val="008910C5"/>
    <w:rsid w:val="008A3D8E"/>
    <w:rsid w:val="008B154B"/>
    <w:rsid w:val="008C75AF"/>
    <w:rsid w:val="008D0CFA"/>
    <w:rsid w:val="009248DE"/>
    <w:rsid w:val="00925299"/>
    <w:rsid w:val="009738A9"/>
    <w:rsid w:val="009C6912"/>
    <w:rsid w:val="00A053D2"/>
    <w:rsid w:val="00A36B06"/>
    <w:rsid w:val="00A4588D"/>
    <w:rsid w:val="00A67F3F"/>
    <w:rsid w:val="00A871C4"/>
    <w:rsid w:val="00AE6160"/>
    <w:rsid w:val="00B004C3"/>
    <w:rsid w:val="00B1055C"/>
    <w:rsid w:val="00B265C7"/>
    <w:rsid w:val="00B86929"/>
    <w:rsid w:val="00BA0656"/>
    <w:rsid w:val="00BA228C"/>
    <w:rsid w:val="00C3548D"/>
    <w:rsid w:val="00C77430"/>
    <w:rsid w:val="00CA65AB"/>
    <w:rsid w:val="00CC1CF2"/>
    <w:rsid w:val="00CC2B14"/>
    <w:rsid w:val="00CC6001"/>
    <w:rsid w:val="00D31B9B"/>
    <w:rsid w:val="00D5310D"/>
    <w:rsid w:val="00D978DC"/>
    <w:rsid w:val="00DA11FD"/>
    <w:rsid w:val="00DB0781"/>
    <w:rsid w:val="00DC7F1D"/>
    <w:rsid w:val="00E0084B"/>
    <w:rsid w:val="00E4513D"/>
    <w:rsid w:val="00E468AD"/>
    <w:rsid w:val="00E64BD3"/>
    <w:rsid w:val="00EC08BF"/>
    <w:rsid w:val="00EC252F"/>
    <w:rsid w:val="00EC2ED1"/>
    <w:rsid w:val="00F07E8F"/>
    <w:rsid w:val="00F30A31"/>
    <w:rsid w:val="00F3269B"/>
    <w:rsid w:val="00FC3637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375"/>
  </w:style>
  <w:style w:type="paragraph" w:styleId="Footer">
    <w:name w:val="footer"/>
    <w:basedOn w:val="Normal"/>
    <w:link w:val="FooterChar"/>
    <w:uiPriority w:val="99"/>
    <w:unhideWhenUsed/>
    <w:rsid w:val="002E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75"/>
  </w:style>
  <w:style w:type="paragraph" w:styleId="ListParagraph">
    <w:name w:val="List Paragraph"/>
    <w:basedOn w:val="Normal"/>
    <w:uiPriority w:val="34"/>
    <w:qFormat/>
    <w:rsid w:val="00FE6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8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375"/>
  </w:style>
  <w:style w:type="paragraph" w:styleId="Footer">
    <w:name w:val="footer"/>
    <w:basedOn w:val="Normal"/>
    <w:link w:val="FooterChar"/>
    <w:uiPriority w:val="99"/>
    <w:unhideWhenUsed/>
    <w:rsid w:val="002E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75"/>
  </w:style>
  <w:style w:type="paragraph" w:styleId="ListParagraph">
    <w:name w:val="List Paragraph"/>
    <w:basedOn w:val="Normal"/>
    <w:uiPriority w:val="34"/>
    <w:qFormat/>
    <w:rsid w:val="00FE6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8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3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12</cp:revision>
  <cp:lastPrinted>2011-10-28T14:47:00Z</cp:lastPrinted>
  <dcterms:created xsi:type="dcterms:W3CDTF">2014-10-30T16:34:00Z</dcterms:created>
  <dcterms:modified xsi:type="dcterms:W3CDTF">2016-12-02T16:31:00Z</dcterms:modified>
</cp:coreProperties>
</file>